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8575" w14:textId="77777777" w:rsidR="00057CF3" w:rsidRDefault="00057CF3" w:rsidP="0087643C">
      <w:pPr>
        <w:spacing w:after="0" w:line="240" w:lineRule="auto"/>
        <w:rPr>
          <w:rFonts w:ascii="Arial" w:hAnsi="Arial" w:cs="Arial"/>
          <w:sz w:val="20"/>
          <w:szCs w:val="20"/>
        </w:rPr>
      </w:pPr>
      <w:r>
        <w:rPr>
          <w:rFonts w:ascii="Arial" w:hAnsi="Arial" w:cs="Arial"/>
          <w:sz w:val="20"/>
          <w:szCs w:val="20"/>
        </w:rPr>
        <w:t>Juli 2024</w:t>
      </w:r>
    </w:p>
    <w:p w14:paraId="58F47AAC" w14:textId="77777777" w:rsidR="00057CF3" w:rsidRDefault="00057CF3" w:rsidP="0087643C">
      <w:pPr>
        <w:spacing w:after="0" w:line="240" w:lineRule="auto"/>
        <w:rPr>
          <w:rFonts w:ascii="Arial" w:hAnsi="Arial" w:cs="Arial"/>
          <w:sz w:val="20"/>
          <w:szCs w:val="20"/>
        </w:rPr>
      </w:pPr>
    </w:p>
    <w:p w14:paraId="3113367F" w14:textId="4A05BB6F" w:rsidR="0087643C" w:rsidRDefault="0087643C" w:rsidP="0087643C">
      <w:pPr>
        <w:spacing w:after="0" w:line="240" w:lineRule="auto"/>
        <w:rPr>
          <w:rFonts w:ascii="Arial" w:hAnsi="Arial" w:cs="Arial"/>
          <w:sz w:val="20"/>
          <w:szCs w:val="20"/>
        </w:rPr>
      </w:pPr>
      <w:r>
        <w:rPr>
          <w:rFonts w:ascii="Arial" w:hAnsi="Arial" w:cs="Arial"/>
          <w:sz w:val="20"/>
          <w:szCs w:val="20"/>
        </w:rPr>
        <w:t>Groepscontrole-passage aan het eind van de paragraaf over de verantwoordelijkheden van de accountant in de controleverklaring in verband met de nieuwe Standaard 600</w:t>
      </w:r>
      <w:r w:rsidR="0066186B">
        <w:rPr>
          <w:rFonts w:ascii="Arial" w:hAnsi="Arial" w:cs="Arial"/>
          <w:sz w:val="20"/>
          <w:szCs w:val="20"/>
        </w:rPr>
        <w:t xml:space="preserve"> vanaf 2024</w:t>
      </w:r>
    </w:p>
    <w:p w14:paraId="12B74088" w14:textId="77777777" w:rsidR="0087643C" w:rsidRDefault="0087643C" w:rsidP="0087643C">
      <w:pPr>
        <w:spacing w:after="0" w:line="240" w:lineRule="auto"/>
        <w:rPr>
          <w:rFonts w:ascii="Arial" w:hAnsi="Arial" w:cs="Arial"/>
          <w:sz w:val="20"/>
          <w:szCs w:val="20"/>
        </w:rPr>
      </w:pPr>
    </w:p>
    <w:tbl>
      <w:tblPr>
        <w:tblStyle w:val="Tabelraster"/>
        <w:tblW w:w="0" w:type="auto"/>
        <w:tblLook w:val="04A0" w:firstRow="1" w:lastRow="0" w:firstColumn="1" w:lastColumn="0" w:noHBand="0" w:noVBand="1"/>
      </w:tblPr>
      <w:tblGrid>
        <w:gridCol w:w="6997"/>
        <w:gridCol w:w="6997"/>
      </w:tblGrid>
      <w:tr w:rsidR="0087643C" w14:paraId="0EC18FBB" w14:textId="77777777" w:rsidTr="0087643C">
        <w:tc>
          <w:tcPr>
            <w:tcW w:w="6997" w:type="dxa"/>
          </w:tcPr>
          <w:p w14:paraId="27A05689" w14:textId="3F9FD205" w:rsidR="0087643C" w:rsidRDefault="0087643C" w:rsidP="0087643C">
            <w:pPr>
              <w:rPr>
                <w:rFonts w:ascii="Arial" w:hAnsi="Arial" w:cs="Arial"/>
                <w:sz w:val="20"/>
                <w:szCs w:val="20"/>
              </w:rPr>
            </w:pPr>
            <w:r>
              <w:rPr>
                <w:rFonts w:ascii="Arial" w:hAnsi="Arial" w:cs="Arial"/>
                <w:sz w:val="20"/>
                <w:szCs w:val="20"/>
              </w:rPr>
              <w:t>NL</w:t>
            </w:r>
          </w:p>
        </w:tc>
        <w:tc>
          <w:tcPr>
            <w:tcW w:w="6997" w:type="dxa"/>
          </w:tcPr>
          <w:p w14:paraId="4D249053" w14:textId="1404D933" w:rsidR="0087643C" w:rsidRDefault="0087643C" w:rsidP="0087643C">
            <w:pPr>
              <w:rPr>
                <w:rFonts w:ascii="Arial" w:hAnsi="Arial" w:cs="Arial"/>
                <w:sz w:val="20"/>
                <w:szCs w:val="20"/>
              </w:rPr>
            </w:pPr>
            <w:r>
              <w:rPr>
                <w:rFonts w:ascii="Arial" w:hAnsi="Arial" w:cs="Arial"/>
                <w:sz w:val="20"/>
                <w:szCs w:val="20"/>
              </w:rPr>
              <w:t>EN</w:t>
            </w:r>
          </w:p>
        </w:tc>
      </w:tr>
      <w:tr w:rsidR="0087643C" w14:paraId="70C6C1C8" w14:textId="77777777" w:rsidTr="0087643C">
        <w:tc>
          <w:tcPr>
            <w:tcW w:w="6997" w:type="dxa"/>
          </w:tcPr>
          <w:p w14:paraId="32B3A8AA" w14:textId="29DC3AC7" w:rsidR="0087643C" w:rsidRDefault="0087643C" w:rsidP="0087643C">
            <w:pPr>
              <w:rPr>
                <w:rFonts w:ascii="Arial" w:hAnsi="Arial" w:cs="Arial"/>
                <w:sz w:val="20"/>
                <w:szCs w:val="20"/>
              </w:rPr>
            </w:pPr>
            <w:r w:rsidRPr="0087643C">
              <w:rPr>
                <w:rFonts w:ascii="Arial" w:hAnsi="Arial" w:cs="Arial"/>
                <w:sz w:val="20"/>
                <w:szCs w:val="20"/>
              </w:rPr>
              <w:t>Wij zijn verantwoordelijk voor het plannen en uitvoeren van de groepscontrole om voldoende en geschikte controle-informatie te verkrijgen met betrekking tot de financiële informatie van de entiteiten of bedrijfsonderdelen binnen de groep</w:t>
            </w:r>
            <w:r w:rsidRPr="0087643C">
              <w:rPr>
                <w:rStyle w:val="Voetnootmarkering"/>
                <w:rFonts w:ascii="Arial" w:hAnsi="Arial" w:cs="Arial"/>
                <w:sz w:val="20"/>
                <w:szCs w:val="20"/>
              </w:rPr>
              <w:footnoteReference w:id="2"/>
            </w:r>
            <w:r w:rsidRPr="0087643C">
              <w:rPr>
                <w:rFonts w:ascii="Arial" w:hAnsi="Arial" w:cs="Arial"/>
                <w:sz w:val="20"/>
                <w:szCs w:val="20"/>
              </w:rPr>
              <w:t xml:space="preserve"> als basis voor het vormen van een oordeel over [de jaarrekening]. Tevens zijn wij verantwoordelijk voor de aansturing van, het toezicht op en de beoordeling van de controlewerkzaamheden die in het kader van de groepscontrole</w:t>
            </w:r>
            <w:r w:rsidRPr="0087643C">
              <w:rPr>
                <w:rStyle w:val="Voetnootmarkering"/>
                <w:rFonts w:ascii="Arial" w:hAnsi="Arial" w:cs="Arial"/>
                <w:sz w:val="20"/>
                <w:szCs w:val="20"/>
              </w:rPr>
              <w:footnoteReference w:id="3"/>
            </w:r>
            <w:r w:rsidRPr="0087643C">
              <w:rPr>
                <w:rFonts w:ascii="Arial" w:hAnsi="Arial" w:cs="Arial"/>
                <w:sz w:val="20"/>
                <w:szCs w:val="20"/>
              </w:rPr>
              <w:t xml:space="preserve"> zijn uitgevoerd. Wij dragen de volledige verantwoordelijkheid voor onze controleverklaring.</w:t>
            </w:r>
          </w:p>
        </w:tc>
        <w:tc>
          <w:tcPr>
            <w:tcW w:w="6997" w:type="dxa"/>
          </w:tcPr>
          <w:p w14:paraId="0C90941D" w14:textId="77777777" w:rsidR="0087643C" w:rsidRPr="0087643C" w:rsidRDefault="0087643C" w:rsidP="0087643C">
            <w:pPr>
              <w:rPr>
                <w:rFonts w:ascii="Arial" w:hAnsi="Arial" w:cs="Arial"/>
                <w:sz w:val="20"/>
                <w:szCs w:val="20"/>
                <w:lang w:val="en-US"/>
              </w:rPr>
            </w:pPr>
            <w:r w:rsidRPr="0087643C">
              <w:rPr>
                <w:rFonts w:ascii="Arial" w:hAnsi="Arial" w:cs="Arial"/>
                <w:sz w:val="20"/>
                <w:szCs w:val="20"/>
                <w:lang w:val="en-US"/>
              </w:rPr>
              <w:t>We are responsible for planning and performing the group audit to obtain sufficient appropriate audit evidence regarding the financial information of the entities or business units within the group</w:t>
            </w:r>
            <w:r w:rsidRPr="0087643C">
              <w:rPr>
                <w:rStyle w:val="Voetnootmarkering"/>
                <w:rFonts w:ascii="Arial" w:hAnsi="Arial" w:cs="Arial"/>
                <w:sz w:val="20"/>
                <w:szCs w:val="20"/>
                <w:lang w:val="en-US"/>
              </w:rPr>
              <w:footnoteReference w:id="4"/>
            </w:r>
            <w:r w:rsidRPr="0087643C">
              <w:rPr>
                <w:rFonts w:ascii="Arial" w:hAnsi="Arial" w:cs="Arial"/>
                <w:sz w:val="20"/>
                <w:szCs w:val="20"/>
                <w:lang w:val="en-US"/>
              </w:rPr>
              <w:t xml:space="preserve"> as a basis for forming an opinion on the [financial statements]. We are also responsible for the direction, supervision and review of the audit work performed for purposes of the group audit</w:t>
            </w:r>
            <w:r w:rsidRPr="0087643C">
              <w:rPr>
                <w:rStyle w:val="Voetnootmarkering"/>
                <w:rFonts w:ascii="Arial" w:hAnsi="Arial" w:cs="Arial"/>
                <w:sz w:val="20"/>
                <w:szCs w:val="20"/>
                <w:lang w:val="en-US"/>
              </w:rPr>
              <w:footnoteReference w:id="5"/>
            </w:r>
            <w:r w:rsidRPr="0087643C">
              <w:rPr>
                <w:rFonts w:ascii="Arial" w:hAnsi="Arial" w:cs="Arial"/>
                <w:sz w:val="20"/>
                <w:szCs w:val="20"/>
                <w:lang w:val="en-US"/>
              </w:rPr>
              <w:t>. We bear the full responsibility for the auditor’s report.</w:t>
            </w:r>
          </w:p>
          <w:p w14:paraId="315A5049" w14:textId="77777777" w:rsidR="0087643C" w:rsidRDefault="0087643C" w:rsidP="0087643C">
            <w:pPr>
              <w:rPr>
                <w:rFonts w:ascii="Arial" w:hAnsi="Arial" w:cs="Arial"/>
                <w:sz w:val="20"/>
                <w:szCs w:val="20"/>
              </w:rPr>
            </w:pPr>
          </w:p>
        </w:tc>
      </w:tr>
    </w:tbl>
    <w:p w14:paraId="2D74A14B" w14:textId="77777777" w:rsidR="0087643C" w:rsidRDefault="0087643C" w:rsidP="0087643C">
      <w:pPr>
        <w:spacing w:after="0" w:line="240" w:lineRule="auto"/>
        <w:rPr>
          <w:rFonts w:ascii="Arial" w:hAnsi="Arial" w:cs="Arial"/>
          <w:sz w:val="20"/>
          <w:szCs w:val="20"/>
        </w:rPr>
      </w:pPr>
    </w:p>
    <w:sectPr w:rsidR="0087643C" w:rsidSect="007F79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BB719" w14:textId="77777777" w:rsidR="00DE0CC3" w:rsidRDefault="00DE0CC3" w:rsidP="00B7095F">
      <w:pPr>
        <w:spacing w:after="0" w:line="240" w:lineRule="auto"/>
      </w:pPr>
      <w:r>
        <w:separator/>
      </w:r>
    </w:p>
  </w:endnote>
  <w:endnote w:type="continuationSeparator" w:id="0">
    <w:p w14:paraId="084CDE5F" w14:textId="77777777" w:rsidR="00DE0CC3" w:rsidRDefault="00DE0CC3" w:rsidP="00B7095F">
      <w:pPr>
        <w:spacing w:after="0" w:line="240" w:lineRule="auto"/>
      </w:pPr>
      <w:r>
        <w:continuationSeparator/>
      </w:r>
    </w:p>
  </w:endnote>
  <w:endnote w:type="continuationNotice" w:id="1">
    <w:p w14:paraId="5AC1308E" w14:textId="77777777" w:rsidR="00DE0CC3" w:rsidRDefault="00DE0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37BC3" w14:textId="77777777" w:rsidR="00DE0CC3" w:rsidRDefault="00DE0CC3" w:rsidP="00B7095F">
      <w:pPr>
        <w:spacing w:after="0" w:line="240" w:lineRule="auto"/>
      </w:pPr>
      <w:r>
        <w:separator/>
      </w:r>
    </w:p>
  </w:footnote>
  <w:footnote w:type="continuationSeparator" w:id="0">
    <w:p w14:paraId="134673DD" w14:textId="77777777" w:rsidR="00DE0CC3" w:rsidRDefault="00DE0CC3" w:rsidP="00B7095F">
      <w:pPr>
        <w:spacing w:after="0" w:line="240" w:lineRule="auto"/>
      </w:pPr>
      <w:r>
        <w:continuationSeparator/>
      </w:r>
    </w:p>
  </w:footnote>
  <w:footnote w:type="continuationNotice" w:id="1">
    <w:p w14:paraId="399667D1" w14:textId="77777777" w:rsidR="00DE0CC3" w:rsidRDefault="00DE0CC3">
      <w:pPr>
        <w:spacing w:after="0" w:line="240" w:lineRule="auto"/>
      </w:pPr>
    </w:p>
  </w:footnote>
  <w:footnote w:id="2">
    <w:p w14:paraId="00C79A9F" w14:textId="77777777" w:rsidR="0087643C" w:rsidRPr="0064215B" w:rsidRDefault="0087643C" w:rsidP="0087643C">
      <w:pPr>
        <w:pStyle w:val="Voetnoottekst"/>
        <w:rPr>
          <w:sz w:val="16"/>
          <w:szCs w:val="16"/>
        </w:rPr>
      </w:pPr>
      <w:r w:rsidRPr="0064215B">
        <w:rPr>
          <w:rStyle w:val="Voetnootmarkering"/>
          <w:sz w:val="16"/>
          <w:szCs w:val="16"/>
        </w:rPr>
        <w:footnoteRef/>
      </w:r>
      <w:r w:rsidRPr="0064215B">
        <w:rPr>
          <w:sz w:val="16"/>
          <w:szCs w:val="16"/>
        </w:rPr>
        <w:t xml:space="preserve"> Indien er geen sprake is van een ‘groep’ zoals bedoeld in Titel 9 BW2 of (EU-)IFRS kan gekozen worden voor een meer passende omschrijving. Bijvoorbeeld: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3">
    <w:p w14:paraId="04836D54" w14:textId="77777777" w:rsidR="0087643C" w:rsidRPr="0064215B" w:rsidRDefault="0087643C" w:rsidP="0087643C">
      <w:pPr>
        <w:pStyle w:val="Voetnoottekst"/>
        <w:rPr>
          <w:sz w:val="16"/>
          <w:szCs w:val="16"/>
        </w:rPr>
      </w:pPr>
      <w:r w:rsidRPr="0064215B">
        <w:rPr>
          <w:rStyle w:val="Voetnootmarkering"/>
          <w:sz w:val="16"/>
          <w:szCs w:val="16"/>
        </w:rPr>
        <w:footnoteRef/>
      </w:r>
      <w:r w:rsidRPr="0064215B">
        <w:rPr>
          <w:sz w:val="16"/>
          <w:szCs w:val="16"/>
        </w:rPr>
        <w:t xml:space="preserve"> Indien er geen sprake is van een ‘groep’ zoals bedoeld in Titel 9 BW2 of (EU-)IFRS kan gekozen worden voor een meer passende omschrijving van de ‘groepscontrole’. Bijvoorbeeld: bij een pensioenfonds waarbij activiteiten aan derden zijn uitbesteed, sprake is van een consolidatieproces en waarbij een andere accountant werkzaamheden verricht in opdracht van de accountant van de groep, zou dit simpelweg kunnen zijn “de controle van de jaarrekening’.</w:t>
      </w:r>
    </w:p>
  </w:footnote>
  <w:footnote w:id="4">
    <w:p w14:paraId="218ED4BC" w14:textId="77777777" w:rsidR="0087643C" w:rsidRPr="0064215B" w:rsidRDefault="0087643C" w:rsidP="0087643C">
      <w:pPr>
        <w:pStyle w:val="Voetnoottekst"/>
        <w:rPr>
          <w:sz w:val="16"/>
          <w:szCs w:val="16"/>
        </w:rPr>
      </w:pPr>
      <w:r w:rsidRPr="0064215B">
        <w:rPr>
          <w:rStyle w:val="Voetnootmarkering"/>
          <w:sz w:val="16"/>
          <w:szCs w:val="16"/>
        </w:rPr>
        <w:footnoteRef/>
      </w:r>
      <w:r w:rsidRPr="0064215B">
        <w:rPr>
          <w:sz w:val="16"/>
          <w:szCs w:val="16"/>
        </w:rPr>
        <w:t xml:space="preserve"> Indien er geen sprake is van een ‘groep’ zoals bedoeld in Titel 9 BW2 of (EU-)IFRS kan gekozen worden voor een meer passende omschrijving. Bijvoorbeeld: bij een pensioenfonds waarbij activiteiten aan derden zijn uitbesteed, sprake is van een consolidatieproces en waarbij een andere accountant werkzaamheden verricht in opdracht van de accountant van het pensioenfonds, zou dit simpelweg kunnen zijn “</w:t>
      </w:r>
      <w:r>
        <w:rPr>
          <w:sz w:val="16"/>
          <w:szCs w:val="16"/>
        </w:rPr>
        <w:t xml:space="preserve">of </w:t>
      </w:r>
      <w:proofErr w:type="spellStart"/>
      <w:r>
        <w:rPr>
          <w:sz w:val="16"/>
          <w:szCs w:val="16"/>
        </w:rPr>
        <w:t>the</w:t>
      </w:r>
      <w:proofErr w:type="spellEnd"/>
      <w:r>
        <w:rPr>
          <w:sz w:val="16"/>
          <w:szCs w:val="16"/>
        </w:rPr>
        <w:t xml:space="preserve"> pension fund</w:t>
      </w:r>
      <w:r w:rsidRPr="0064215B">
        <w:rPr>
          <w:sz w:val="16"/>
          <w:szCs w:val="16"/>
        </w:rPr>
        <w:t>”.</w:t>
      </w:r>
    </w:p>
  </w:footnote>
  <w:footnote w:id="5">
    <w:p w14:paraId="7F83EC9C" w14:textId="77777777" w:rsidR="0087643C" w:rsidRPr="0064215B" w:rsidRDefault="0087643C" w:rsidP="0087643C">
      <w:pPr>
        <w:pStyle w:val="Voetnoottekst"/>
        <w:rPr>
          <w:sz w:val="16"/>
          <w:szCs w:val="16"/>
        </w:rPr>
      </w:pPr>
      <w:r w:rsidRPr="0064215B">
        <w:rPr>
          <w:rStyle w:val="Voetnootmarkering"/>
          <w:sz w:val="16"/>
          <w:szCs w:val="16"/>
        </w:rPr>
        <w:footnoteRef/>
      </w:r>
      <w:r w:rsidRPr="0064215B">
        <w:rPr>
          <w:sz w:val="16"/>
          <w:szCs w:val="16"/>
        </w:rPr>
        <w:t xml:space="preserve"> Indien er geen sprake is van een ‘groep’ zoals bedoeld in Titel 9 BW2 of (EU-)IFRS kan gekozen worden voor een meer passende omschrijving van de ‘groepscontrole’. Bijvoorbeeld: bij een pensioenfonds waarbij activiteiten aan derden zijn uitbesteed, sprake is van een consolidatieproces en waarbij een andere accountant werkzaamheden verricht in opdracht van de accountant van de groep, zou dit simpelweg kunnen zijn “</w:t>
      </w:r>
      <w:proofErr w:type="spellStart"/>
      <w:r>
        <w:rPr>
          <w:sz w:val="16"/>
          <w:szCs w:val="16"/>
        </w:rPr>
        <w:t>the</w:t>
      </w:r>
      <w:proofErr w:type="spellEnd"/>
      <w:r>
        <w:rPr>
          <w:sz w:val="16"/>
          <w:szCs w:val="16"/>
        </w:rPr>
        <w:t xml:space="preserve"> audit of </w:t>
      </w:r>
      <w:proofErr w:type="spellStart"/>
      <w:r>
        <w:rPr>
          <w:sz w:val="16"/>
          <w:szCs w:val="16"/>
        </w:rPr>
        <w:t>the</w:t>
      </w:r>
      <w:proofErr w:type="spellEnd"/>
      <w:r>
        <w:rPr>
          <w:sz w:val="16"/>
          <w:szCs w:val="16"/>
        </w:rPr>
        <w:t xml:space="preserve"> financial statements</w:t>
      </w:r>
      <w:r w:rsidRPr="0064215B">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42B5A"/>
    <w:multiLevelType w:val="hybridMultilevel"/>
    <w:tmpl w:val="A87C50C8"/>
    <w:lvl w:ilvl="0" w:tplc="FEE6603E">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4F2CE7"/>
    <w:multiLevelType w:val="hybridMultilevel"/>
    <w:tmpl w:val="015431C4"/>
    <w:lvl w:ilvl="0" w:tplc="50042A1C">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EB407D"/>
    <w:multiLevelType w:val="hybridMultilevel"/>
    <w:tmpl w:val="634017B4"/>
    <w:lvl w:ilvl="0" w:tplc="BD609CC0">
      <w:start w:val="1"/>
      <w:numFmt w:val="bullet"/>
      <w:lvlText w:val="•"/>
      <w:lvlJc w:val="left"/>
      <w:pPr>
        <w:ind w:left="720" w:hanging="360"/>
      </w:pPr>
      <w:rPr>
        <w:rFonts w:ascii="EYInterstate Light" w:hAnsi="EYInterstate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C2350B"/>
    <w:multiLevelType w:val="hybridMultilevel"/>
    <w:tmpl w:val="5204E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D06872"/>
    <w:multiLevelType w:val="hybridMultilevel"/>
    <w:tmpl w:val="5204E4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276696">
    <w:abstractNumId w:val="2"/>
  </w:num>
  <w:num w:numId="2" w16cid:durableId="1459449038">
    <w:abstractNumId w:val="3"/>
  </w:num>
  <w:num w:numId="3" w16cid:durableId="1606306127">
    <w:abstractNumId w:val="1"/>
  </w:num>
  <w:num w:numId="4" w16cid:durableId="433669963">
    <w:abstractNumId w:val="4"/>
  </w:num>
  <w:num w:numId="5" w16cid:durableId="103254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7F"/>
    <w:rsid w:val="00012942"/>
    <w:rsid w:val="00012CF3"/>
    <w:rsid w:val="000278D5"/>
    <w:rsid w:val="000327B9"/>
    <w:rsid w:val="00057CF3"/>
    <w:rsid w:val="00067E89"/>
    <w:rsid w:val="000B5758"/>
    <w:rsid w:val="000B63FC"/>
    <w:rsid w:val="00121929"/>
    <w:rsid w:val="0016488D"/>
    <w:rsid w:val="001737D2"/>
    <w:rsid w:val="001D34D1"/>
    <w:rsid w:val="001E391A"/>
    <w:rsid w:val="00245D90"/>
    <w:rsid w:val="0024688A"/>
    <w:rsid w:val="0025034D"/>
    <w:rsid w:val="00252BBA"/>
    <w:rsid w:val="002624CA"/>
    <w:rsid w:val="002C5F3F"/>
    <w:rsid w:val="002D00B2"/>
    <w:rsid w:val="002D7D5C"/>
    <w:rsid w:val="002E1BF9"/>
    <w:rsid w:val="00343C43"/>
    <w:rsid w:val="00345A8B"/>
    <w:rsid w:val="0035727F"/>
    <w:rsid w:val="003E5717"/>
    <w:rsid w:val="003F6BD7"/>
    <w:rsid w:val="00414B86"/>
    <w:rsid w:val="00423FEF"/>
    <w:rsid w:val="00455DD5"/>
    <w:rsid w:val="0046073C"/>
    <w:rsid w:val="00467F1C"/>
    <w:rsid w:val="004904C9"/>
    <w:rsid w:val="00492968"/>
    <w:rsid w:val="004A1FB6"/>
    <w:rsid w:val="004C323B"/>
    <w:rsid w:val="004E19E1"/>
    <w:rsid w:val="004E4CAB"/>
    <w:rsid w:val="004F057F"/>
    <w:rsid w:val="0051441A"/>
    <w:rsid w:val="00541DAE"/>
    <w:rsid w:val="005628C3"/>
    <w:rsid w:val="005729EB"/>
    <w:rsid w:val="00597543"/>
    <w:rsid w:val="005B5128"/>
    <w:rsid w:val="005C08CF"/>
    <w:rsid w:val="005C4728"/>
    <w:rsid w:val="0064215B"/>
    <w:rsid w:val="0066186B"/>
    <w:rsid w:val="00673EFE"/>
    <w:rsid w:val="006815F3"/>
    <w:rsid w:val="0068260C"/>
    <w:rsid w:val="006D46AB"/>
    <w:rsid w:val="007003B8"/>
    <w:rsid w:val="007104C4"/>
    <w:rsid w:val="007376D1"/>
    <w:rsid w:val="00743B08"/>
    <w:rsid w:val="007756FE"/>
    <w:rsid w:val="007A72FE"/>
    <w:rsid w:val="007E5780"/>
    <w:rsid w:val="007F7984"/>
    <w:rsid w:val="0084786F"/>
    <w:rsid w:val="00862BAB"/>
    <w:rsid w:val="00872CF3"/>
    <w:rsid w:val="0087300E"/>
    <w:rsid w:val="0087643C"/>
    <w:rsid w:val="0088471F"/>
    <w:rsid w:val="008B4803"/>
    <w:rsid w:val="008C129E"/>
    <w:rsid w:val="00915F28"/>
    <w:rsid w:val="00942395"/>
    <w:rsid w:val="00944C3C"/>
    <w:rsid w:val="00945B54"/>
    <w:rsid w:val="00977BBD"/>
    <w:rsid w:val="009875A7"/>
    <w:rsid w:val="009C35FB"/>
    <w:rsid w:val="009F0B4C"/>
    <w:rsid w:val="00A25C03"/>
    <w:rsid w:val="00A349D8"/>
    <w:rsid w:val="00A435EA"/>
    <w:rsid w:val="00A85C6D"/>
    <w:rsid w:val="00AE6A4A"/>
    <w:rsid w:val="00B01642"/>
    <w:rsid w:val="00B11FDD"/>
    <w:rsid w:val="00B36EFE"/>
    <w:rsid w:val="00B51946"/>
    <w:rsid w:val="00B57A88"/>
    <w:rsid w:val="00B62D01"/>
    <w:rsid w:val="00B7095F"/>
    <w:rsid w:val="00B75BD4"/>
    <w:rsid w:val="00B8121D"/>
    <w:rsid w:val="00B82549"/>
    <w:rsid w:val="00B85CA4"/>
    <w:rsid w:val="00BA53AC"/>
    <w:rsid w:val="00BD4226"/>
    <w:rsid w:val="00BD4C67"/>
    <w:rsid w:val="00BD7629"/>
    <w:rsid w:val="00C02CAD"/>
    <w:rsid w:val="00C041D7"/>
    <w:rsid w:val="00C142D3"/>
    <w:rsid w:val="00C2693C"/>
    <w:rsid w:val="00C50D04"/>
    <w:rsid w:val="00CA55CE"/>
    <w:rsid w:val="00CB1603"/>
    <w:rsid w:val="00CB261C"/>
    <w:rsid w:val="00CC4A40"/>
    <w:rsid w:val="00CC63B5"/>
    <w:rsid w:val="00D154B6"/>
    <w:rsid w:val="00D22D60"/>
    <w:rsid w:val="00D2330E"/>
    <w:rsid w:val="00D4744A"/>
    <w:rsid w:val="00D73511"/>
    <w:rsid w:val="00D94FFB"/>
    <w:rsid w:val="00DC41EE"/>
    <w:rsid w:val="00DE0CC3"/>
    <w:rsid w:val="00DE509F"/>
    <w:rsid w:val="00E81872"/>
    <w:rsid w:val="00E9792C"/>
    <w:rsid w:val="00EA4112"/>
    <w:rsid w:val="00EB5BE6"/>
    <w:rsid w:val="00ED5ADA"/>
    <w:rsid w:val="00EE61CF"/>
    <w:rsid w:val="00EF45FA"/>
    <w:rsid w:val="00F27930"/>
    <w:rsid w:val="00F44A88"/>
    <w:rsid w:val="00F656FE"/>
    <w:rsid w:val="00FA1221"/>
    <w:rsid w:val="00FB1936"/>
    <w:rsid w:val="00FB7FF5"/>
    <w:rsid w:val="00FD7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D491"/>
  <w15:chartTrackingRefBased/>
  <w15:docId w15:val="{67965730-E6BE-4556-A5EB-A2E7C5BA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4F057F"/>
    <w:pPr>
      <w:spacing w:after="0" w:line="240" w:lineRule="auto"/>
    </w:pPr>
  </w:style>
  <w:style w:type="paragraph" w:styleId="Voetnoottekst">
    <w:name w:val="footnote text"/>
    <w:basedOn w:val="Standaard"/>
    <w:link w:val="VoetnoottekstChar"/>
    <w:unhideWhenUsed/>
    <w:rsid w:val="00B7095F"/>
    <w:pPr>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rsid w:val="00B7095F"/>
    <w:rPr>
      <w:rFonts w:ascii="Arial" w:eastAsia="Times New Roman" w:hAnsi="Arial" w:cs="Times New Roman"/>
      <w:sz w:val="20"/>
      <w:szCs w:val="20"/>
      <w:lang w:eastAsia="nl-NL"/>
    </w:rPr>
  </w:style>
  <w:style w:type="paragraph" w:styleId="Tekstopmerking">
    <w:name w:val="annotation text"/>
    <w:basedOn w:val="Standaard"/>
    <w:link w:val="TekstopmerkingChar"/>
    <w:semiHidden/>
    <w:unhideWhenUsed/>
    <w:rsid w:val="00B7095F"/>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semiHidden/>
    <w:rsid w:val="00B7095F"/>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B7095F"/>
    <w:rPr>
      <w:vertAlign w:val="superscript"/>
    </w:rPr>
  </w:style>
  <w:style w:type="character" w:styleId="Verwijzingopmerking">
    <w:name w:val="annotation reference"/>
    <w:semiHidden/>
    <w:unhideWhenUsed/>
    <w:rsid w:val="00B7095F"/>
    <w:rPr>
      <w:sz w:val="16"/>
      <w:szCs w:val="16"/>
    </w:rPr>
  </w:style>
  <w:style w:type="paragraph" w:styleId="Onderwerpvanopmerking">
    <w:name w:val="annotation subject"/>
    <w:basedOn w:val="Tekstopmerking"/>
    <w:next w:val="Tekstopmerking"/>
    <w:link w:val="OnderwerpvanopmerkingChar"/>
    <w:uiPriority w:val="99"/>
    <w:semiHidden/>
    <w:unhideWhenUsed/>
    <w:rsid w:val="0088471F"/>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88471F"/>
    <w:rPr>
      <w:rFonts w:ascii="Arial" w:eastAsia="Times New Roman" w:hAnsi="Arial" w:cs="Times New Roman"/>
      <w:b/>
      <w:bCs/>
      <w:sz w:val="20"/>
      <w:szCs w:val="20"/>
      <w:lang w:eastAsia="nl-NL"/>
    </w:rPr>
  </w:style>
  <w:style w:type="character" w:styleId="Hyperlink">
    <w:name w:val="Hyperlink"/>
    <w:basedOn w:val="Standaardalinea-lettertype"/>
    <w:uiPriority w:val="99"/>
    <w:unhideWhenUsed/>
    <w:rsid w:val="00D22D60"/>
    <w:rPr>
      <w:color w:val="0563C1" w:themeColor="hyperlink"/>
      <w:u w:val="single"/>
    </w:rPr>
  </w:style>
  <w:style w:type="character" w:styleId="Onopgelostemelding">
    <w:name w:val="Unresolved Mention"/>
    <w:basedOn w:val="Standaardalinea-lettertype"/>
    <w:uiPriority w:val="99"/>
    <w:semiHidden/>
    <w:unhideWhenUsed/>
    <w:rsid w:val="00D22D60"/>
    <w:rPr>
      <w:color w:val="605E5C"/>
      <w:shd w:val="clear" w:color="auto" w:fill="E1DFDD"/>
    </w:rPr>
  </w:style>
  <w:style w:type="paragraph" w:styleId="Lijstalinea">
    <w:name w:val="List Paragraph"/>
    <w:basedOn w:val="Standaard"/>
    <w:uiPriority w:val="34"/>
    <w:qFormat/>
    <w:rsid w:val="00467F1C"/>
    <w:pPr>
      <w:ind w:left="720"/>
      <w:contextualSpacing/>
    </w:pPr>
  </w:style>
  <w:style w:type="paragraph" w:styleId="Koptekst">
    <w:name w:val="header"/>
    <w:basedOn w:val="Standaard"/>
    <w:link w:val="KoptekstChar"/>
    <w:uiPriority w:val="99"/>
    <w:semiHidden/>
    <w:unhideWhenUsed/>
    <w:rsid w:val="004929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92968"/>
  </w:style>
  <w:style w:type="paragraph" w:styleId="Voettekst">
    <w:name w:val="footer"/>
    <w:basedOn w:val="Standaard"/>
    <w:link w:val="VoettekstChar"/>
    <w:uiPriority w:val="99"/>
    <w:semiHidden/>
    <w:unhideWhenUsed/>
    <w:rsid w:val="004929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92968"/>
  </w:style>
  <w:style w:type="character" w:styleId="GevolgdeHyperlink">
    <w:name w:val="FollowedHyperlink"/>
    <w:basedOn w:val="Standaardalinea-lettertype"/>
    <w:uiPriority w:val="99"/>
    <w:semiHidden/>
    <w:unhideWhenUsed/>
    <w:rsid w:val="00D2330E"/>
    <w:rPr>
      <w:color w:val="954F72" w:themeColor="followedHyperlink"/>
      <w:u w:val="single"/>
    </w:rPr>
  </w:style>
  <w:style w:type="table" w:styleId="Tabelraster">
    <w:name w:val="Table Grid"/>
    <w:basedOn w:val="Standaardtabel"/>
    <w:uiPriority w:val="39"/>
    <w:rsid w:val="00876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1877">
      <w:bodyDiv w:val="1"/>
      <w:marLeft w:val="0"/>
      <w:marRight w:val="0"/>
      <w:marTop w:val="0"/>
      <w:marBottom w:val="0"/>
      <w:divBdr>
        <w:top w:val="none" w:sz="0" w:space="0" w:color="auto"/>
        <w:left w:val="none" w:sz="0" w:space="0" w:color="auto"/>
        <w:bottom w:val="none" w:sz="0" w:space="0" w:color="auto"/>
        <w:right w:val="none" w:sz="0" w:space="0" w:color="auto"/>
      </w:divBdr>
    </w:div>
    <w:div w:id="7604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10" ma:contentTypeDescription="Een nieuw document maken." ma:contentTypeScope="" ma:versionID="abbb5b5203a21a9173af32345e4a495f">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f17016340684dbff77cdecf1dab10fe4"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2954B-B422-4CD9-8070-251F1EA8AF78}">
  <ds:schemaRefs>
    <ds:schemaRef ds:uri="http://schemas.openxmlformats.org/officeDocument/2006/bibliography"/>
  </ds:schemaRefs>
</ds:datastoreItem>
</file>

<file path=customXml/itemProps2.xml><?xml version="1.0" encoding="utf-8"?>
<ds:datastoreItem xmlns:ds="http://schemas.openxmlformats.org/officeDocument/2006/customXml" ds:itemID="{809F4022-B618-4A6A-8393-B87D42C63AF2}">
  <ds:schemaRefs>
    <ds:schemaRef ds:uri="http://schemas.microsoft.com/sharepoint/v3/contenttype/forms"/>
  </ds:schemaRefs>
</ds:datastoreItem>
</file>

<file path=customXml/itemProps3.xml><?xml version="1.0" encoding="utf-8"?>
<ds:datastoreItem xmlns:ds="http://schemas.openxmlformats.org/officeDocument/2006/customXml" ds:itemID="{310353C7-1E01-40C6-A212-FFF9C975B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E141A-F0F7-459D-8752-A150D0F26FED}">
  <ds:schemaRefs>
    <ds:schemaRef ds:uri="http://purl.org/dc/elements/1.1/"/>
    <ds:schemaRef ds:uri="http://schemas.microsoft.com/office/2006/metadata/properties"/>
    <ds:schemaRef ds:uri="http://schemas.microsoft.com/office/2006/documentManagement/types"/>
    <ds:schemaRef ds:uri="http://purl.org/dc/terms/"/>
    <ds:schemaRef ds:uri="6e51bfaf-d5b1-4d15-a7e0-962f771743e7"/>
    <ds:schemaRef ds:uri="597130b8-dec9-4d7c-b45b-e8ec1c62665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1020</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KPMG NL</Company>
  <LinksUpToDate>false</LinksUpToDate>
  <CharactersWithSpaces>1203</CharactersWithSpaces>
  <SharedDoc>false</SharedDoc>
  <HLinks>
    <vt:vector size="6" baseType="variant">
      <vt:variant>
        <vt:i4>8126524</vt:i4>
      </vt:variant>
      <vt:variant>
        <vt:i4>0</vt:i4>
      </vt:variant>
      <vt:variant>
        <vt:i4>0</vt:i4>
      </vt:variant>
      <vt:variant>
        <vt:i4>5</vt:i4>
      </vt:variant>
      <vt:variant>
        <vt:lpwstr>https://www.google.com/url?sa=t&amp;rct=j&amp;q=&amp;esrc=s&amp;source=web&amp;cd=&amp;cad=rja&amp;uact=8&amp;ved=2ahUKEwjS0erarpOBAxX87rsIHXh3C2QQFnoECA4QAQ&amp;url=https%3A%2F%2Fwww.iaasb.org%2Fpublications%2Finternational-standard-auditing-600-revised-special-considerations-audits-group-financial-statements&amp;usg=AOvVaw1gFpYwyRrDt6CldA4mCkQ3&amp;opi=89978449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Bos, Argh</dc:creator>
  <cp:keywords/>
  <dc:description/>
  <cp:lastModifiedBy>Andre Broers</cp:lastModifiedBy>
  <cp:revision>5</cp:revision>
  <dcterms:created xsi:type="dcterms:W3CDTF">2024-07-23T08:43:00Z</dcterms:created>
  <dcterms:modified xsi:type="dcterms:W3CDTF">2024-07-23T08:46:00Z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2023-08-28T14:58:26Z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0020d5e9-dd7e-45c7-9f5e-a2abf7fa4d6b</vt:lpwstr>
  </property>
  <property fmtid="{D5CDD505-2E9C-101B-9397-08002B2CF9AE}" pid="8" name="MSIP_Label_ea60d57e-af5b-4752-ac57-3e4f28ca11dc_ContentBits">
    <vt:lpwstr>0</vt:lpwstr>
  </property>
  <property fmtid="{D5CDD505-2E9C-101B-9397-08002B2CF9AE}" pid="9" name="ContentTypeId">
    <vt:lpwstr>0x0101003DCC9426C791DA41859A7269277315A0</vt:lpwstr>
  </property>
</Properties>
</file>